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CC" w:rsidRPr="00EB0681" w:rsidRDefault="00D3401B" w:rsidP="00311CCC">
      <w:pPr>
        <w:pStyle w:val="Heading1"/>
        <w:spacing w:before="960"/>
        <w:rPr>
          <w:sz w:val="24"/>
          <w:szCs w:val="32"/>
        </w:rPr>
      </w:pPr>
      <w:bookmarkStart w:id="0" w:name="_GoBack"/>
      <w:bookmarkEnd w:id="0"/>
      <w:r w:rsidRPr="00EB0681">
        <w:rPr>
          <w:sz w:val="24"/>
          <w:szCs w:val="32"/>
        </w:rPr>
        <w:t>CANCER GENOMICS &amp; BIOINFORMATICS</w:t>
      </w:r>
      <w:r w:rsidR="00AE5168" w:rsidRPr="00EB0681">
        <w:rPr>
          <w:sz w:val="24"/>
          <w:szCs w:val="32"/>
        </w:rPr>
        <w:t xml:space="preserve"> CORE (CGBC)</w:t>
      </w:r>
    </w:p>
    <w:p w:rsidR="00A70E37" w:rsidRPr="00EB0681" w:rsidRDefault="00A70E37" w:rsidP="00A70E37">
      <w:pPr>
        <w:jc w:val="both"/>
        <w:rPr>
          <w:sz w:val="24"/>
        </w:rPr>
      </w:pPr>
      <w:r w:rsidRPr="00EB0681">
        <w:rPr>
          <w:sz w:val="24"/>
        </w:rPr>
        <w:t>Paolo Fortina, MD, PhD</w:t>
      </w:r>
    </w:p>
    <w:p w:rsidR="00A70E37" w:rsidRPr="00EB0681" w:rsidRDefault="00A70E37" w:rsidP="00A70E37">
      <w:pPr>
        <w:jc w:val="both"/>
        <w:rPr>
          <w:sz w:val="24"/>
        </w:rPr>
      </w:pPr>
      <w:r w:rsidRPr="00EB0681">
        <w:rPr>
          <w:sz w:val="24"/>
        </w:rPr>
        <w:t>Director</w:t>
      </w:r>
    </w:p>
    <w:p w:rsidR="00A70E37" w:rsidRPr="00EB0681" w:rsidRDefault="00A70E37" w:rsidP="00A70E37">
      <w:pPr>
        <w:jc w:val="both"/>
        <w:rPr>
          <w:sz w:val="24"/>
        </w:rPr>
      </w:pPr>
      <w:r w:rsidRPr="00EB0681">
        <w:rPr>
          <w:sz w:val="24"/>
        </w:rPr>
        <w:t>215-955-0683</w:t>
      </w:r>
    </w:p>
    <w:p w:rsidR="00A70E37" w:rsidRPr="00EB0681" w:rsidRDefault="00A70E37" w:rsidP="00A70E37">
      <w:pPr>
        <w:jc w:val="both"/>
        <w:rPr>
          <w:sz w:val="24"/>
        </w:rPr>
      </w:pPr>
    </w:p>
    <w:p w:rsidR="00A70E37" w:rsidRPr="00EB0681" w:rsidRDefault="00A70E37" w:rsidP="00A70E37">
      <w:pPr>
        <w:jc w:val="both"/>
        <w:rPr>
          <w:sz w:val="24"/>
        </w:rPr>
      </w:pPr>
      <w:r w:rsidRPr="00EB0681">
        <w:rPr>
          <w:sz w:val="24"/>
        </w:rPr>
        <w:t>Melanie Kelly,</w:t>
      </w:r>
    </w:p>
    <w:p w:rsidR="00A70E37" w:rsidRPr="00EB0681" w:rsidRDefault="00A70E37" w:rsidP="00A70E37">
      <w:pPr>
        <w:jc w:val="both"/>
        <w:rPr>
          <w:sz w:val="24"/>
        </w:rPr>
      </w:pPr>
      <w:r w:rsidRPr="00EB0681">
        <w:rPr>
          <w:sz w:val="24"/>
        </w:rPr>
        <w:t>Manager</w:t>
      </w:r>
    </w:p>
    <w:p w:rsidR="00A70E37" w:rsidRPr="00EB0681" w:rsidRDefault="00A70E37" w:rsidP="00A70E37">
      <w:pPr>
        <w:jc w:val="both"/>
        <w:rPr>
          <w:sz w:val="24"/>
        </w:rPr>
      </w:pPr>
      <w:r w:rsidRPr="00EB0681">
        <w:rPr>
          <w:sz w:val="24"/>
        </w:rPr>
        <w:t>215-955-9572</w:t>
      </w:r>
    </w:p>
    <w:p w:rsidR="00A70E37" w:rsidRPr="00EB0681" w:rsidRDefault="00A70E37" w:rsidP="00A70E37">
      <w:pPr>
        <w:jc w:val="both"/>
        <w:rPr>
          <w:sz w:val="24"/>
        </w:rPr>
      </w:pPr>
    </w:p>
    <w:p w:rsidR="00A70E37" w:rsidRPr="00EB0681" w:rsidRDefault="00A70E37" w:rsidP="00A70E37">
      <w:pPr>
        <w:jc w:val="both"/>
        <w:rPr>
          <w:sz w:val="24"/>
        </w:rPr>
      </w:pPr>
      <w:r w:rsidRPr="00EB0681">
        <w:rPr>
          <w:sz w:val="24"/>
        </w:rPr>
        <w:t>Kimmel Cancer Center</w:t>
      </w:r>
    </w:p>
    <w:p w:rsidR="00A70E37" w:rsidRPr="00EB0681" w:rsidRDefault="00A70E37" w:rsidP="00A70E37">
      <w:pPr>
        <w:jc w:val="both"/>
        <w:rPr>
          <w:sz w:val="24"/>
        </w:rPr>
      </w:pPr>
      <w:r w:rsidRPr="00EB0681">
        <w:rPr>
          <w:sz w:val="24"/>
        </w:rPr>
        <w:t>233 South, 10th Street</w:t>
      </w:r>
    </w:p>
    <w:p w:rsidR="00A70E37" w:rsidRPr="00EB0681" w:rsidRDefault="00A70E37" w:rsidP="00A70E37">
      <w:pPr>
        <w:jc w:val="both"/>
        <w:rPr>
          <w:sz w:val="24"/>
        </w:rPr>
      </w:pPr>
      <w:r w:rsidRPr="00EB0681">
        <w:rPr>
          <w:sz w:val="24"/>
        </w:rPr>
        <w:t>BLSB, Room 1009</w:t>
      </w:r>
    </w:p>
    <w:p w:rsidR="00A70E37" w:rsidRPr="00EB0681" w:rsidRDefault="00A70E37" w:rsidP="00A70E37">
      <w:pPr>
        <w:jc w:val="both"/>
        <w:rPr>
          <w:sz w:val="24"/>
        </w:rPr>
      </w:pPr>
      <w:r w:rsidRPr="00EB0681">
        <w:rPr>
          <w:sz w:val="24"/>
        </w:rPr>
        <w:t>Philadelphia, PA 19107</w:t>
      </w:r>
    </w:p>
    <w:p w:rsidR="00311CCC" w:rsidRPr="00EB0681" w:rsidRDefault="00311CCC" w:rsidP="00311CCC">
      <w:pPr>
        <w:rPr>
          <w:sz w:val="24"/>
        </w:rPr>
      </w:pPr>
    </w:p>
    <w:p w:rsidR="006B0CBB" w:rsidRPr="00EB0681" w:rsidRDefault="006B0CBB" w:rsidP="006B0CBB">
      <w:pPr>
        <w:widowControl w:val="0"/>
        <w:autoSpaceDE w:val="0"/>
        <w:autoSpaceDN w:val="0"/>
        <w:adjustRightInd w:val="0"/>
        <w:rPr>
          <w:rFonts w:eastAsia="MS Mincho" w:cs="Helvetica"/>
          <w:sz w:val="24"/>
          <w:szCs w:val="28"/>
        </w:rPr>
      </w:pPr>
      <w:r w:rsidRPr="00EB0681">
        <w:rPr>
          <w:rFonts w:eastAsia="MS Mincho" w:cs="Helvetica"/>
          <w:color w:val="003F9F"/>
          <w:sz w:val="24"/>
          <w:szCs w:val="28"/>
          <w:u w:val="single" w:color="003F9F"/>
        </w:rPr>
        <w:t>http://www.jefferson.edu/jmc/departments/cancer-biology/research/cancer-genomics/services.html</w:t>
      </w:r>
    </w:p>
    <w:p w:rsidR="006B0CBB" w:rsidRPr="00EB0681" w:rsidRDefault="006B0CBB" w:rsidP="006B0CBB">
      <w:pPr>
        <w:widowControl w:val="0"/>
        <w:autoSpaceDE w:val="0"/>
        <w:autoSpaceDN w:val="0"/>
        <w:adjustRightInd w:val="0"/>
        <w:rPr>
          <w:rFonts w:eastAsia="MS Mincho" w:cs="Helvetica"/>
          <w:sz w:val="24"/>
          <w:szCs w:val="28"/>
        </w:rPr>
      </w:pPr>
    </w:p>
    <w:p w:rsidR="00311CCC" w:rsidRPr="00EB0681" w:rsidRDefault="00311CCC" w:rsidP="00311CCC">
      <w:pPr>
        <w:pStyle w:val="Heading3"/>
        <w:rPr>
          <w:sz w:val="24"/>
        </w:rPr>
      </w:pPr>
    </w:p>
    <w:tbl>
      <w:tblPr>
        <w:tblW w:w="0" w:type="auto"/>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4248"/>
        <w:gridCol w:w="4608"/>
      </w:tblGrid>
      <w:tr w:rsidR="00311CCC" w:rsidRPr="002A3AA1">
        <w:tc>
          <w:tcPr>
            <w:tcW w:w="4248" w:type="dxa"/>
            <w:tcBorders>
              <w:top w:val="nil"/>
            </w:tcBorders>
            <w:shd w:val="clear" w:color="auto" w:fill="E6E6E6"/>
          </w:tcPr>
          <w:p w:rsidR="00311CCC" w:rsidRPr="00311CCC" w:rsidRDefault="00311CCC" w:rsidP="00311CCC">
            <w:pPr>
              <w:pStyle w:val="StyleTableBodyTextItalic"/>
              <w:rPr>
                <w:rFonts w:eastAsia="Times New Roman"/>
                <w:sz w:val="24"/>
                <w:szCs w:val="24"/>
              </w:rPr>
            </w:pPr>
            <w:r w:rsidRPr="00311CCC">
              <w:rPr>
                <w:rFonts w:eastAsia="Times New Roman"/>
                <w:sz w:val="24"/>
                <w:szCs w:val="24"/>
              </w:rPr>
              <w:t xml:space="preserve">Mission, Goals, Capabilities </w:t>
            </w:r>
          </w:p>
          <w:p w:rsidR="00311CCC" w:rsidRPr="00311CCC" w:rsidRDefault="00311CCC" w:rsidP="00627636">
            <w:pPr>
              <w:autoSpaceDE w:val="0"/>
              <w:autoSpaceDN w:val="0"/>
              <w:adjustRightInd w:val="0"/>
              <w:rPr>
                <w:sz w:val="24"/>
              </w:rPr>
            </w:pPr>
          </w:p>
        </w:tc>
        <w:tc>
          <w:tcPr>
            <w:tcW w:w="4608" w:type="dxa"/>
            <w:tcBorders>
              <w:top w:val="nil"/>
            </w:tcBorders>
          </w:tcPr>
          <w:p w:rsidR="00311CCC" w:rsidRPr="00EB0681" w:rsidRDefault="00847C67" w:rsidP="00AE5168">
            <w:pPr>
              <w:rPr>
                <w:rFonts w:cs="Arial"/>
                <w:sz w:val="24"/>
              </w:rPr>
            </w:pPr>
            <w:r w:rsidRPr="00EB0681">
              <w:rPr>
                <w:sz w:val="24"/>
              </w:rPr>
              <w:t xml:space="preserve">The goal of the NCI-funded and CLIA-certified Cancer Genomics and Bioinformatics Core is to provide genomics and bioinformatics leadership to clinicians and research scientists to facilitate projects in basic, translational and clinical research. By serving as a centralized resource with a full array of services </w:t>
            </w:r>
            <w:r w:rsidRPr="00EB0681">
              <w:rPr>
                <w:sz w:val="24"/>
                <w:szCs w:val="26"/>
              </w:rPr>
              <w:t>from Sanger sequencing, genotyping, gene expression analysis to  next-generation sequencing</w:t>
            </w:r>
            <w:r w:rsidRPr="00EB0681">
              <w:rPr>
                <w:sz w:val="24"/>
              </w:rPr>
              <w:t xml:space="preserve"> and with </w:t>
            </w:r>
            <w:r w:rsidRPr="00EB0681">
              <w:rPr>
                <w:rFonts w:cs="Helvetica"/>
                <w:sz w:val="24"/>
                <w:lang w:bidi="en-US"/>
              </w:rPr>
              <w:t>a significant computational infrastructure for data analysis and storage</w:t>
            </w:r>
            <w:r w:rsidRPr="00EB0681">
              <w:rPr>
                <w:sz w:val="24"/>
              </w:rPr>
              <w:t xml:space="preserve">, and experienced professionals in genomics-based methods, the Cancer Genomics and Bioinformatics Core </w:t>
            </w:r>
            <w:r w:rsidRPr="00EB0681">
              <w:rPr>
                <w:sz w:val="24"/>
                <w:szCs w:val="26"/>
              </w:rPr>
              <w:t>provides assistance in all facets of experimentation from design to data analysis, including grant and manuscript preparations. It strives to service the research community in a cost-effective and efficient manner to enable to conduct the best research possible</w:t>
            </w:r>
            <w:r w:rsidRPr="00EB0681">
              <w:rPr>
                <w:sz w:val="24"/>
              </w:rPr>
              <w:t xml:space="preserve"> at cost-effective prices to investigators </w:t>
            </w:r>
            <w:r w:rsidRPr="00EB0681">
              <w:rPr>
                <w:rFonts w:cs="Helvetica"/>
                <w:sz w:val="24"/>
                <w:szCs w:val="21"/>
                <w:lang w:bidi="en-US"/>
              </w:rPr>
              <w:t xml:space="preserve">for </w:t>
            </w:r>
            <w:r w:rsidRPr="00EB0681">
              <w:rPr>
                <w:rFonts w:cs="Helvetica"/>
                <w:sz w:val="24"/>
                <w:szCs w:val="21"/>
                <w:lang w:bidi="en-US"/>
              </w:rPr>
              <w:lastRenderedPageBreak/>
              <w:t>DNA and RNA</w:t>
            </w:r>
            <w:r w:rsidRPr="00EB0681">
              <w:rPr>
                <w:sz w:val="24"/>
              </w:rPr>
              <w:t xml:space="preserve"> analysis.</w:t>
            </w:r>
          </w:p>
        </w:tc>
      </w:tr>
      <w:tr w:rsidR="00311CCC" w:rsidRPr="002A3AA1">
        <w:tc>
          <w:tcPr>
            <w:tcW w:w="4248" w:type="dxa"/>
            <w:shd w:val="clear" w:color="auto" w:fill="E6E6E6"/>
          </w:tcPr>
          <w:p w:rsidR="00311CCC" w:rsidRPr="00311CCC" w:rsidRDefault="00311CCC" w:rsidP="00627636">
            <w:pPr>
              <w:pStyle w:val="StyleTableBodyTextItalic"/>
              <w:rPr>
                <w:rFonts w:eastAsia="Times New Roman"/>
                <w:sz w:val="24"/>
                <w:szCs w:val="24"/>
              </w:rPr>
            </w:pPr>
            <w:r w:rsidRPr="00311CCC">
              <w:rPr>
                <w:rFonts w:eastAsia="Times New Roman"/>
                <w:sz w:val="24"/>
                <w:szCs w:val="24"/>
              </w:rPr>
              <w:lastRenderedPageBreak/>
              <w:t xml:space="preserve">Major Equipment </w:t>
            </w:r>
          </w:p>
        </w:tc>
        <w:tc>
          <w:tcPr>
            <w:tcW w:w="4608" w:type="dxa"/>
          </w:tcPr>
          <w:p w:rsidR="00EB0681" w:rsidRPr="00EB0681" w:rsidRDefault="00EB0681" w:rsidP="00EB0681">
            <w:pPr>
              <w:pStyle w:val="ListParagraph"/>
              <w:numPr>
                <w:ilvl w:val="0"/>
                <w:numId w:val="20"/>
              </w:numPr>
              <w:spacing w:line="240" w:lineRule="exact"/>
              <w:jc w:val="both"/>
              <w:rPr>
                <w:sz w:val="24"/>
              </w:rPr>
            </w:pPr>
            <w:r w:rsidRPr="00EB0681">
              <w:rPr>
                <w:sz w:val="24"/>
              </w:rPr>
              <w:t>Chemagen Magnetic Separation Module I Chemagic</w:t>
            </w:r>
          </w:p>
          <w:p w:rsidR="00EB0681" w:rsidRPr="00EB0681" w:rsidRDefault="00EB0681" w:rsidP="00EB0681">
            <w:pPr>
              <w:pStyle w:val="ListParagraph"/>
              <w:numPr>
                <w:ilvl w:val="0"/>
                <w:numId w:val="20"/>
              </w:numPr>
              <w:spacing w:line="240" w:lineRule="exact"/>
              <w:jc w:val="both"/>
              <w:rPr>
                <w:sz w:val="24"/>
              </w:rPr>
            </w:pPr>
            <w:r w:rsidRPr="00EB0681">
              <w:rPr>
                <w:sz w:val="24"/>
              </w:rPr>
              <w:t>Agilent 2100 Bioanalyzer</w:t>
            </w:r>
          </w:p>
          <w:p w:rsidR="00EB0681" w:rsidRPr="00EB0681" w:rsidRDefault="00EB0681" w:rsidP="00EB0681">
            <w:pPr>
              <w:pStyle w:val="ListParagraph"/>
              <w:numPr>
                <w:ilvl w:val="0"/>
                <w:numId w:val="20"/>
              </w:numPr>
              <w:spacing w:line="240" w:lineRule="exact"/>
              <w:jc w:val="both"/>
              <w:rPr>
                <w:sz w:val="24"/>
              </w:rPr>
            </w:pPr>
            <w:r w:rsidRPr="00EB0681">
              <w:rPr>
                <w:sz w:val="24"/>
              </w:rPr>
              <w:t>Agilent 2200 Tape Station</w:t>
            </w:r>
          </w:p>
          <w:p w:rsidR="00EB0681" w:rsidRPr="00EB0681" w:rsidRDefault="00EB0681" w:rsidP="00EB0681">
            <w:pPr>
              <w:pStyle w:val="ListParagraph"/>
              <w:numPr>
                <w:ilvl w:val="0"/>
                <w:numId w:val="20"/>
              </w:numPr>
              <w:spacing w:line="240" w:lineRule="exact"/>
              <w:jc w:val="both"/>
              <w:rPr>
                <w:sz w:val="24"/>
              </w:rPr>
            </w:pPr>
            <w:r w:rsidRPr="00EB0681">
              <w:rPr>
                <w:sz w:val="24"/>
              </w:rPr>
              <w:t>Applied Biosystems 3730 DNA Sequencer</w:t>
            </w:r>
          </w:p>
          <w:p w:rsidR="00EB0681" w:rsidRPr="00EB0681" w:rsidRDefault="00EB0681" w:rsidP="00EB0681">
            <w:pPr>
              <w:pStyle w:val="ListParagraph"/>
              <w:numPr>
                <w:ilvl w:val="0"/>
                <w:numId w:val="20"/>
              </w:numPr>
              <w:spacing w:line="240" w:lineRule="exact"/>
              <w:jc w:val="both"/>
              <w:rPr>
                <w:b/>
                <w:sz w:val="24"/>
              </w:rPr>
            </w:pPr>
            <w:r w:rsidRPr="00EB0681">
              <w:rPr>
                <w:sz w:val="24"/>
              </w:rPr>
              <w:t>Applied Biosystems-SOLiD 5500xl System Automated Sequencer (X2)</w:t>
            </w:r>
          </w:p>
          <w:p w:rsidR="00EB0681" w:rsidRPr="00EB0681" w:rsidRDefault="00EB0681" w:rsidP="00EB0681">
            <w:pPr>
              <w:pStyle w:val="ListParagraph"/>
              <w:numPr>
                <w:ilvl w:val="0"/>
                <w:numId w:val="20"/>
              </w:numPr>
              <w:spacing w:line="240" w:lineRule="exact"/>
              <w:jc w:val="both"/>
              <w:rPr>
                <w:b/>
                <w:sz w:val="24"/>
              </w:rPr>
            </w:pPr>
            <w:r w:rsidRPr="00EB0681">
              <w:rPr>
                <w:sz w:val="24"/>
              </w:rPr>
              <w:t>Ion Torrent PGM System (X2)</w:t>
            </w:r>
          </w:p>
          <w:p w:rsidR="00EB0681" w:rsidRPr="00EB0681" w:rsidRDefault="00EB0681" w:rsidP="00EB0681">
            <w:pPr>
              <w:pStyle w:val="ListParagraph"/>
              <w:numPr>
                <w:ilvl w:val="0"/>
                <w:numId w:val="20"/>
              </w:numPr>
              <w:spacing w:line="240" w:lineRule="exact"/>
              <w:jc w:val="both"/>
              <w:rPr>
                <w:sz w:val="24"/>
              </w:rPr>
            </w:pPr>
            <w:r w:rsidRPr="00EB0681">
              <w:rPr>
                <w:sz w:val="24"/>
              </w:rPr>
              <w:t>Applied Bioystem EZ-Bead System</w:t>
            </w:r>
          </w:p>
          <w:p w:rsidR="00EB0681" w:rsidRPr="00EB0681" w:rsidRDefault="00EB0681" w:rsidP="00EB0681">
            <w:pPr>
              <w:pStyle w:val="ListParagraph"/>
              <w:numPr>
                <w:ilvl w:val="0"/>
                <w:numId w:val="20"/>
              </w:numPr>
              <w:spacing w:line="240" w:lineRule="exact"/>
              <w:jc w:val="both"/>
              <w:rPr>
                <w:rFonts w:cs="Arial"/>
                <w:sz w:val="24"/>
              </w:rPr>
            </w:pPr>
            <w:r w:rsidRPr="00EB0681">
              <w:rPr>
                <w:sz w:val="24"/>
              </w:rPr>
              <w:t>Affymetrix GeneChip System</w:t>
            </w:r>
          </w:p>
          <w:p w:rsidR="00EB0681" w:rsidRPr="00EB0681" w:rsidRDefault="00EB0681" w:rsidP="00EB0681">
            <w:pPr>
              <w:pStyle w:val="ListParagraph"/>
              <w:numPr>
                <w:ilvl w:val="0"/>
                <w:numId w:val="20"/>
              </w:numPr>
              <w:spacing w:line="240" w:lineRule="exact"/>
              <w:jc w:val="both"/>
              <w:rPr>
                <w:sz w:val="24"/>
              </w:rPr>
            </w:pPr>
            <w:r w:rsidRPr="00EB0681">
              <w:rPr>
                <w:rFonts w:cs="Arial"/>
                <w:sz w:val="24"/>
              </w:rPr>
              <w:t>Affymetrix GeneChip System DX2</w:t>
            </w:r>
          </w:p>
          <w:p w:rsidR="00EB0681" w:rsidRPr="00EB0681" w:rsidRDefault="00EB0681" w:rsidP="00EB0681">
            <w:pPr>
              <w:pStyle w:val="ListParagraph"/>
              <w:numPr>
                <w:ilvl w:val="0"/>
                <w:numId w:val="20"/>
              </w:numPr>
              <w:spacing w:line="240" w:lineRule="exact"/>
              <w:jc w:val="both"/>
              <w:rPr>
                <w:sz w:val="24"/>
              </w:rPr>
            </w:pPr>
            <w:r w:rsidRPr="00EB0681">
              <w:rPr>
                <w:sz w:val="24"/>
              </w:rPr>
              <w:t>Applied Biosystems 7900HT Real-Time Quantitative PCR Systems</w:t>
            </w:r>
          </w:p>
          <w:p w:rsidR="00EB0681" w:rsidRPr="00EB0681" w:rsidRDefault="00EB0681" w:rsidP="00EB0681">
            <w:pPr>
              <w:pStyle w:val="ListParagraph"/>
              <w:numPr>
                <w:ilvl w:val="0"/>
                <w:numId w:val="20"/>
              </w:numPr>
              <w:spacing w:line="240" w:lineRule="exact"/>
              <w:jc w:val="both"/>
              <w:rPr>
                <w:sz w:val="24"/>
              </w:rPr>
            </w:pPr>
            <w:r w:rsidRPr="00EB0681">
              <w:rPr>
                <w:sz w:val="24"/>
              </w:rPr>
              <w:t>Applied Biosystems 7500 Real-Time Quantitative PCR Systems</w:t>
            </w:r>
          </w:p>
          <w:p w:rsidR="00EB0681" w:rsidRPr="00EB0681" w:rsidRDefault="00EB0681" w:rsidP="00EB0681">
            <w:pPr>
              <w:pStyle w:val="ListParagraph"/>
              <w:numPr>
                <w:ilvl w:val="0"/>
                <w:numId w:val="20"/>
              </w:numPr>
              <w:spacing w:line="240" w:lineRule="exact"/>
              <w:jc w:val="both"/>
              <w:rPr>
                <w:sz w:val="24"/>
              </w:rPr>
            </w:pPr>
            <w:r w:rsidRPr="00EB0681">
              <w:rPr>
                <w:sz w:val="24"/>
              </w:rPr>
              <w:t>TaqMan® QuantStudio</w:t>
            </w:r>
            <w:r w:rsidRPr="00EB0681">
              <w:rPr>
                <w:sz w:val="24"/>
                <w:vertAlign w:val="superscript"/>
              </w:rPr>
              <w:t>TM</w:t>
            </w:r>
            <w:r w:rsidRPr="00EB0681">
              <w:rPr>
                <w:sz w:val="24"/>
              </w:rPr>
              <w:t xml:space="preserve"> 12K Flex Real-Time PCR System</w:t>
            </w:r>
          </w:p>
          <w:p w:rsidR="00EB0681" w:rsidRPr="00EB0681" w:rsidRDefault="00EB0681" w:rsidP="00EB0681">
            <w:pPr>
              <w:pStyle w:val="ListParagraph"/>
              <w:numPr>
                <w:ilvl w:val="0"/>
                <w:numId w:val="20"/>
              </w:numPr>
              <w:spacing w:line="240" w:lineRule="exact"/>
              <w:jc w:val="both"/>
              <w:rPr>
                <w:sz w:val="24"/>
              </w:rPr>
            </w:pPr>
            <w:r w:rsidRPr="00EB0681">
              <w:rPr>
                <w:sz w:val="24"/>
              </w:rPr>
              <w:t>Beckman Coulter Biomek FX</w:t>
            </w:r>
            <w:r w:rsidRPr="00EB0681">
              <w:rPr>
                <w:sz w:val="24"/>
                <w:vertAlign w:val="superscript"/>
              </w:rPr>
              <w:t>P</w:t>
            </w:r>
            <w:r w:rsidRPr="00EB0681">
              <w:rPr>
                <w:sz w:val="24"/>
              </w:rPr>
              <w:t xml:space="preserve"> (dual pods)</w:t>
            </w:r>
          </w:p>
          <w:p w:rsidR="00EB0681" w:rsidRPr="00EB0681" w:rsidRDefault="00EB0681" w:rsidP="00EB0681">
            <w:pPr>
              <w:spacing w:line="240" w:lineRule="exact"/>
              <w:jc w:val="both"/>
              <w:rPr>
                <w:rFonts w:cs="Arial"/>
                <w:sz w:val="24"/>
                <w:szCs w:val="22"/>
              </w:rPr>
            </w:pPr>
          </w:p>
          <w:p w:rsidR="00EB0681" w:rsidRPr="00EB0681" w:rsidRDefault="00EB0681" w:rsidP="00EB0681">
            <w:pPr>
              <w:pStyle w:val="ListParagraph"/>
              <w:numPr>
                <w:ilvl w:val="0"/>
                <w:numId w:val="20"/>
              </w:numPr>
              <w:spacing w:line="240" w:lineRule="exact"/>
              <w:jc w:val="both"/>
              <w:rPr>
                <w:rFonts w:cs="Arial"/>
                <w:sz w:val="24"/>
                <w:szCs w:val="22"/>
              </w:rPr>
            </w:pPr>
            <w:r w:rsidRPr="00EB0681">
              <w:rPr>
                <w:rFonts w:cs="Arial"/>
                <w:sz w:val="24"/>
                <w:szCs w:val="22"/>
              </w:rPr>
              <w:t>Bioinformatics: Computational expertise for generation, management, analysis and delivery of information derived from the research setting. Areas include nucleic acid, genomic, and functional genomic data analysis; large data set manipulation and management; data visualization; high performance computing; database design and implementation; Internet-based data dissemination solutions.</w:t>
            </w:r>
          </w:p>
          <w:p w:rsidR="00EB0681" w:rsidRPr="00EB0681" w:rsidRDefault="00EB0681" w:rsidP="00EB0681">
            <w:pPr>
              <w:spacing w:line="240" w:lineRule="exact"/>
              <w:jc w:val="both"/>
              <w:rPr>
                <w:rFonts w:cs="Arial"/>
                <w:sz w:val="24"/>
                <w:szCs w:val="22"/>
              </w:rPr>
            </w:pPr>
          </w:p>
          <w:p w:rsidR="00EB0681" w:rsidRPr="00EB0681" w:rsidRDefault="00EB0681" w:rsidP="00EB0681">
            <w:pPr>
              <w:pStyle w:val="ListParagraph"/>
              <w:numPr>
                <w:ilvl w:val="0"/>
                <w:numId w:val="20"/>
              </w:numPr>
              <w:spacing w:line="240" w:lineRule="exact"/>
              <w:jc w:val="both"/>
              <w:rPr>
                <w:rFonts w:cs="Arial"/>
                <w:sz w:val="24"/>
                <w:szCs w:val="22"/>
              </w:rPr>
            </w:pPr>
            <w:r w:rsidRPr="00EB0681">
              <w:rPr>
                <w:rFonts w:cs="Arial"/>
                <w:sz w:val="24"/>
                <w:szCs w:val="22"/>
              </w:rPr>
              <w:t>Software applications:</w:t>
            </w:r>
          </w:p>
          <w:p w:rsidR="00EB0681" w:rsidRPr="00EB0681" w:rsidRDefault="00EB0681" w:rsidP="00EB0681">
            <w:pPr>
              <w:pStyle w:val="ListParagraph"/>
              <w:numPr>
                <w:ilvl w:val="0"/>
                <w:numId w:val="20"/>
              </w:numPr>
              <w:spacing w:line="240" w:lineRule="exact"/>
              <w:jc w:val="both"/>
              <w:rPr>
                <w:rFonts w:cs="Arial"/>
                <w:sz w:val="24"/>
                <w:szCs w:val="22"/>
              </w:rPr>
            </w:pPr>
            <w:r w:rsidRPr="00EB0681">
              <w:rPr>
                <w:rFonts w:cs="Arial"/>
                <w:sz w:val="24"/>
                <w:szCs w:val="22"/>
              </w:rPr>
              <w:t>Affymetrix Expression Console,</w:t>
            </w:r>
          </w:p>
          <w:p w:rsidR="00EB0681" w:rsidRPr="00EB0681" w:rsidRDefault="00EB0681" w:rsidP="00EB0681">
            <w:pPr>
              <w:pStyle w:val="ListParagraph"/>
              <w:numPr>
                <w:ilvl w:val="0"/>
                <w:numId w:val="20"/>
              </w:numPr>
              <w:spacing w:line="240" w:lineRule="exact"/>
              <w:jc w:val="both"/>
              <w:rPr>
                <w:rFonts w:cs="Arial"/>
                <w:sz w:val="24"/>
                <w:szCs w:val="22"/>
              </w:rPr>
            </w:pPr>
            <w:r w:rsidRPr="00EB0681">
              <w:rPr>
                <w:rFonts w:cs="Arial"/>
                <w:sz w:val="24"/>
                <w:szCs w:val="22"/>
              </w:rPr>
              <w:t>Affymetrix Genotyping Console,</w:t>
            </w:r>
          </w:p>
          <w:p w:rsidR="00EB0681" w:rsidRPr="00EB0681" w:rsidRDefault="00EB0681" w:rsidP="00EB0681">
            <w:pPr>
              <w:pStyle w:val="ListParagraph"/>
              <w:numPr>
                <w:ilvl w:val="0"/>
                <w:numId w:val="20"/>
              </w:numPr>
              <w:spacing w:line="240" w:lineRule="exact"/>
              <w:jc w:val="both"/>
              <w:rPr>
                <w:rFonts w:cs="Arial"/>
                <w:sz w:val="24"/>
                <w:szCs w:val="22"/>
              </w:rPr>
            </w:pPr>
            <w:r w:rsidRPr="00EB0681">
              <w:rPr>
                <w:rFonts w:cs="Arial"/>
                <w:sz w:val="24"/>
                <w:szCs w:val="22"/>
              </w:rPr>
              <w:t>Sequencher,</w:t>
            </w:r>
          </w:p>
          <w:p w:rsidR="00EB0681" w:rsidRPr="00EB0681" w:rsidRDefault="00EB0681" w:rsidP="00EB0681">
            <w:pPr>
              <w:pStyle w:val="ListParagraph"/>
              <w:numPr>
                <w:ilvl w:val="0"/>
                <w:numId w:val="20"/>
              </w:numPr>
              <w:spacing w:line="240" w:lineRule="exact"/>
              <w:jc w:val="both"/>
              <w:rPr>
                <w:rFonts w:cs="Arial"/>
                <w:sz w:val="24"/>
                <w:szCs w:val="22"/>
              </w:rPr>
            </w:pPr>
            <w:r w:rsidRPr="00EB0681">
              <w:rPr>
                <w:rFonts w:cs="Arial"/>
                <w:sz w:val="24"/>
                <w:szCs w:val="22"/>
              </w:rPr>
              <w:t>GeneSpring GX 11</w:t>
            </w:r>
          </w:p>
          <w:p w:rsidR="00EB0681" w:rsidRPr="00EB0681" w:rsidRDefault="00EB0681" w:rsidP="00EB0681">
            <w:pPr>
              <w:pStyle w:val="ListParagraph"/>
              <w:numPr>
                <w:ilvl w:val="0"/>
                <w:numId w:val="20"/>
              </w:numPr>
              <w:spacing w:line="240" w:lineRule="exact"/>
              <w:jc w:val="both"/>
              <w:rPr>
                <w:rFonts w:cs="Arial"/>
                <w:sz w:val="24"/>
                <w:szCs w:val="22"/>
              </w:rPr>
            </w:pPr>
            <w:r w:rsidRPr="00EB0681">
              <w:rPr>
                <w:rFonts w:cs="Arial"/>
                <w:sz w:val="24"/>
                <w:szCs w:val="22"/>
              </w:rPr>
              <w:t>Ingenuity Pathways Analysis</w:t>
            </w:r>
          </w:p>
          <w:p w:rsidR="00EB0681" w:rsidRPr="00EB0681" w:rsidRDefault="00EB0681" w:rsidP="00EB0681">
            <w:pPr>
              <w:pStyle w:val="ListParagraph"/>
              <w:numPr>
                <w:ilvl w:val="0"/>
                <w:numId w:val="20"/>
              </w:numPr>
              <w:spacing w:line="240" w:lineRule="exact"/>
              <w:jc w:val="both"/>
              <w:rPr>
                <w:rFonts w:cs="Arial"/>
                <w:sz w:val="24"/>
                <w:szCs w:val="22"/>
              </w:rPr>
            </w:pPr>
            <w:r w:rsidRPr="00EB0681">
              <w:rPr>
                <w:sz w:val="24"/>
              </w:rPr>
              <w:t>Applied Bioystem</w:t>
            </w:r>
            <w:r w:rsidRPr="00EB0681">
              <w:rPr>
                <w:rFonts w:cs="Arial"/>
                <w:sz w:val="24"/>
                <w:szCs w:val="22"/>
              </w:rPr>
              <w:t xml:space="preserve"> BioScope,</w:t>
            </w:r>
          </w:p>
          <w:p w:rsidR="00EB0681" w:rsidRPr="00EB0681" w:rsidRDefault="00EB0681" w:rsidP="00EB0681">
            <w:pPr>
              <w:pStyle w:val="ListParagraph"/>
              <w:numPr>
                <w:ilvl w:val="0"/>
                <w:numId w:val="20"/>
              </w:numPr>
              <w:spacing w:line="240" w:lineRule="exact"/>
              <w:jc w:val="both"/>
              <w:rPr>
                <w:sz w:val="24"/>
              </w:rPr>
            </w:pPr>
            <w:r w:rsidRPr="00EB0681">
              <w:rPr>
                <w:sz w:val="24"/>
              </w:rPr>
              <w:t>GenePattern</w:t>
            </w:r>
          </w:p>
          <w:p w:rsidR="00311CCC" w:rsidRPr="00EB0681" w:rsidRDefault="00311CCC" w:rsidP="00EB0681">
            <w:pPr>
              <w:ind w:left="360"/>
              <w:rPr>
                <w:rFonts w:cs="Arial"/>
                <w:sz w:val="24"/>
              </w:rPr>
            </w:pPr>
          </w:p>
        </w:tc>
      </w:tr>
      <w:tr w:rsidR="00311CCC" w:rsidRPr="002A3AA1">
        <w:tc>
          <w:tcPr>
            <w:tcW w:w="4248" w:type="dxa"/>
            <w:shd w:val="clear" w:color="auto" w:fill="E6E6E6"/>
          </w:tcPr>
          <w:p w:rsidR="00311CCC" w:rsidRPr="00311CCC" w:rsidRDefault="00311CCC" w:rsidP="00627636">
            <w:pPr>
              <w:pStyle w:val="StyleTableBodyTextItalic"/>
              <w:rPr>
                <w:rFonts w:eastAsia="Times New Roman"/>
                <w:sz w:val="24"/>
                <w:szCs w:val="24"/>
              </w:rPr>
            </w:pPr>
            <w:r w:rsidRPr="00311CCC">
              <w:rPr>
                <w:rFonts w:eastAsia="Times New Roman"/>
                <w:sz w:val="24"/>
                <w:szCs w:val="24"/>
              </w:rPr>
              <w:t>Services</w:t>
            </w:r>
          </w:p>
        </w:tc>
        <w:tc>
          <w:tcPr>
            <w:tcW w:w="4608" w:type="dxa"/>
          </w:tcPr>
          <w:p w:rsidR="00EB0681" w:rsidRPr="00EB0681" w:rsidRDefault="00EB0681" w:rsidP="00EB0681">
            <w:pPr>
              <w:pStyle w:val="DataField11pt"/>
              <w:spacing w:line="240" w:lineRule="auto"/>
              <w:jc w:val="both"/>
              <w:rPr>
                <w:sz w:val="24"/>
                <w:szCs w:val="22"/>
                <w:lang w:bidi="en-US"/>
              </w:rPr>
            </w:pPr>
            <w:r w:rsidRPr="00EB0681">
              <w:rPr>
                <w:sz w:val="24"/>
                <w:szCs w:val="22"/>
                <w:lang w:bidi="en-US"/>
              </w:rPr>
              <w:t xml:space="preserve">All projects are required to be discussed with the resource Director, Dr. P. Fortina, the laboratory manager, Ms. M. Kelly and the </w:t>
            </w:r>
            <w:r w:rsidRPr="00EB0681">
              <w:rPr>
                <w:sz w:val="24"/>
                <w:szCs w:val="22"/>
              </w:rPr>
              <w:t>project manager for bioinformatics</w:t>
            </w:r>
            <w:r w:rsidRPr="00EB0681">
              <w:rPr>
                <w:sz w:val="24"/>
                <w:szCs w:val="22"/>
                <w:lang w:bidi="en-US"/>
              </w:rPr>
              <w:t xml:space="preserve">, Dr. A. Ertel, to ensure </w:t>
            </w:r>
            <w:r w:rsidRPr="00EB0681">
              <w:rPr>
                <w:sz w:val="24"/>
                <w:szCs w:val="22"/>
                <w:lang w:bidi="en-US"/>
              </w:rPr>
              <w:lastRenderedPageBreak/>
              <w:t xml:space="preserve">that experimental design, genomics technology options, bioinformatics challenges and budget can be considered. This is essential for all projects and ensures users are fully informed about technology available, suitability, costs and data analyses. </w:t>
            </w:r>
          </w:p>
          <w:p w:rsidR="00EB0681" w:rsidRPr="00EB0681" w:rsidRDefault="00EB0681" w:rsidP="00EB0681">
            <w:pPr>
              <w:pStyle w:val="DataField11pt"/>
              <w:spacing w:line="240" w:lineRule="auto"/>
              <w:jc w:val="both"/>
              <w:rPr>
                <w:sz w:val="24"/>
                <w:szCs w:val="22"/>
                <w:lang w:bidi="en-US"/>
              </w:rPr>
            </w:pPr>
          </w:p>
          <w:p w:rsidR="00EB0681" w:rsidRPr="00EB0681" w:rsidRDefault="00EB0681" w:rsidP="00EB0681">
            <w:pPr>
              <w:pStyle w:val="DataField11pt"/>
              <w:spacing w:line="240" w:lineRule="auto"/>
              <w:jc w:val="both"/>
              <w:rPr>
                <w:sz w:val="24"/>
                <w:szCs w:val="22"/>
              </w:rPr>
            </w:pPr>
            <w:r w:rsidRPr="00EB0681">
              <w:rPr>
                <w:sz w:val="24"/>
                <w:szCs w:val="22"/>
              </w:rPr>
              <w:t xml:space="preserve">The </w:t>
            </w:r>
            <w:r w:rsidRPr="00EB0681">
              <w:rPr>
                <w:sz w:val="24"/>
              </w:rPr>
              <w:t>Cancer Genomics and Bioinformatics Core</w:t>
            </w:r>
            <w:r w:rsidRPr="00EB0681">
              <w:rPr>
                <w:sz w:val="24"/>
                <w:szCs w:val="22"/>
                <w:lang w:bidi="en-US"/>
              </w:rPr>
              <w:t xml:space="preserve"> </w:t>
            </w:r>
            <w:r w:rsidRPr="00EB0681">
              <w:rPr>
                <w:sz w:val="24"/>
                <w:szCs w:val="22"/>
              </w:rPr>
              <w:t>offers services for:</w:t>
            </w:r>
          </w:p>
          <w:p w:rsidR="00EB0681" w:rsidRPr="00EB0681" w:rsidRDefault="00EB0681" w:rsidP="00EB0681">
            <w:pPr>
              <w:pStyle w:val="DataField11pt"/>
              <w:spacing w:line="240" w:lineRule="auto"/>
              <w:jc w:val="both"/>
              <w:rPr>
                <w:sz w:val="24"/>
                <w:szCs w:val="22"/>
              </w:rPr>
            </w:pPr>
          </w:p>
          <w:p w:rsidR="00EB0681" w:rsidRPr="00EB0681" w:rsidRDefault="00EB0681" w:rsidP="00EB0681">
            <w:pPr>
              <w:pStyle w:val="DataField11pt"/>
              <w:numPr>
                <w:ilvl w:val="0"/>
                <w:numId w:val="24"/>
              </w:numPr>
              <w:spacing w:line="240" w:lineRule="auto"/>
              <w:ind w:left="450" w:hanging="270"/>
              <w:jc w:val="both"/>
              <w:rPr>
                <w:sz w:val="24"/>
                <w:szCs w:val="22"/>
              </w:rPr>
            </w:pPr>
            <w:r w:rsidRPr="00EB0681">
              <w:rPr>
                <w:sz w:val="24"/>
                <w:szCs w:val="22"/>
              </w:rPr>
              <w:t>Nucleic acid isolation and purification, and related molecular biological services including PCR, cloning, sub-cloning and site-directed mutagenesis;</w:t>
            </w:r>
          </w:p>
          <w:p w:rsidR="00EB0681" w:rsidRPr="00EB0681" w:rsidRDefault="00EB0681" w:rsidP="00EB0681">
            <w:pPr>
              <w:pStyle w:val="DataField11pt"/>
              <w:numPr>
                <w:ilvl w:val="0"/>
                <w:numId w:val="24"/>
              </w:numPr>
              <w:spacing w:line="240" w:lineRule="auto"/>
              <w:ind w:left="450" w:hanging="270"/>
              <w:jc w:val="both"/>
              <w:rPr>
                <w:sz w:val="24"/>
                <w:szCs w:val="22"/>
              </w:rPr>
            </w:pPr>
            <w:r w:rsidRPr="00EB0681">
              <w:rPr>
                <w:sz w:val="24"/>
                <w:szCs w:val="22"/>
              </w:rPr>
              <w:t>Cost-effective, reliable, long-read, automated Sanger sequencing;</w:t>
            </w:r>
          </w:p>
          <w:p w:rsidR="00EB0681" w:rsidRPr="00EB0681" w:rsidRDefault="00EB0681" w:rsidP="00EB0681">
            <w:pPr>
              <w:pStyle w:val="DataField11pt"/>
              <w:numPr>
                <w:ilvl w:val="0"/>
                <w:numId w:val="24"/>
              </w:numPr>
              <w:spacing w:line="240" w:lineRule="auto"/>
              <w:ind w:left="450" w:hanging="270"/>
              <w:jc w:val="both"/>
              <w:rPr>
                <w:sz w:val="24"/>
                <w:szCs w:val="22"/>
              </w:rPr>
            </w:pPr>
            <w:r w:rsidRPr="00EB0681">
              <w:rPr>
                <w:sz w:val="24"/>
                <w:szCs w:val="22"/>
              </w:rPr>
              <w:t>Microsatellite-based genotyping and fragment analysis;</w:t>
            </w:r>
          </w:p>
          <w:p w:rsidR="00EB0681" w:rsidRPr="00EB0681" w:rsidRDefault="00EB0681" w:rsidP="00EB0681">
            <w:pPr>
              <w:pStyle w:val="DataField11pt"/>
              <w:numPr>
                <w:ilvl w:val="0"/>
                <w:numId w:val="24"/>
              </w:numPr>
              <w:spacing w:line="240" w:lineRule="auto"/>
              <w:ind w:left="450" w:hanging="270"/>
              <w:jc w:val="both"/>
              <w:rPr>
                <w:sz w:val="24"/>
                <w:szCs w:val="22"/>
              </w:rPr>
            </w:pPr>
            <w:r w:rsidRPr="00EB0681">
              <w:rPr>
                <w:sz w:val="24"/>
                <w:szCs w:val="22"/>
              </w:rPr>
              <w:t>Genome-wide SNP genotyping (GWAS), copy number variation (CNV), aCGH and loss of heterozygosity (LOH);</w:t>
            </w:r>
          </w:p>
          <w:p w:rsidR="00EB0681" w:rsidRPr="00EB0681" w:rsidRDefault="00EB0681" w:rsidP="00EB0681">
            <w:pPr>
              <w:pStyle w:val="DataField11pt"/>
              <w:numPr>
                <w:ilvl w:val="0"/>
                <w:numId w:val="24"/>
              </w:numPr>
              <w:spacing w:line="240" w:lineRule="auto"/>
              <w:ind w:left="450" w:hanging="270"/>
              <w:jc w:val="both"/>
              <w:rPr>
                <w:sz w:val="24"/>
                <w:szCs w:val="22"/>
              </w:rPr>
            </w:pPr>
            <w:r w:rsidRPr="00EB0681">
              <w:rPr>
                <w:sz w:val="24"/>
              </w:rPr>
              <w:t>CytoScan High Density Cytogenetics (coverage of all 36,000 RefSeq genes including 12,000 OMIM, all ISCA constitutional regions and Sanger cancer genes)</w:t>
            </w:r>
          </w:p>
          <w:p w:rsidR="00EB0681" w:rsidRPr="00EB0681" w:rsidRDefault="00EB0681" w:rsidP="00EB0681">
            <w:pPr>
              <w:pStyle w:val="DataField11pt"/>
              <w:numPr>
                <w:ilvl w:val="0"/>
                <w:numId w:val="24"/>
              </w:numPr>
              <w:spacing w:line="240" w:lineRule="auto"/>
              <w:ind w:left="450" w:hanging="270"/>
              <w:jc w:val="both"/>
              <w:rPr>
                <w:sz w:val="24"/>
                <w:szCs w:val="22"/>
              </w:rPr>
            </w:pPr>
            <w:r w:rsidRPr="00EB0681">
              <w:rPr>
                <w:sz w:val="24"/>
                <w:szCs w:val="22"/>
              </w:rPr>
              <w:t>Genome-wide mRNA and microRNA expression profiling on Affymetrix microarrays and/or custom made disease- and/or pathway-targeted arrays;</w:t>
            </w:r>
          </w:p>
          <w:p w:rsidR="00EB0681" w:rsidRPr="00EB0681" w:rsidRDefault="00EB0681" w:rsidP="00EB0681">
            <w:pPr>
              <w:pStyle w:val="DataField11pt"/>
              <w:numPr>
                <w:ilvl w:val="0"/>
                <w:numId w:val="24"/>
              </w:numPr>
              <w:spacing w:line="240" w:lineRule="auto"/>
              <w:ind w:left="450" w:hanging="270"/>
              <w:jc w:val="both"/>
              <w:rPr>
                <w:sz w:val="24"/>
                <w:szCs w:val="22"/>
              </w:rPr>
            </w:pPr>
            <w:r w:rsidRPr="00EB0681">
              <w:rPr>
                <w:sz w:val="24"/>
                <w:szCs w:val="22"/>
              </w:rPr>
              <w:t>Independent validation of candidate loci/genes by quantitative PCR;</w:t>
            </w:r>
          </w:p>
          <w:p w:rsidR="00EB0681" w:rsidRPr="00EB0681" w:rsidRDefault="00EB0681" w:rsidP="00EB0681">
            <w:pPr>
              <w:pStyle w:val="DataField11pt"/>
              <w:numPr>
                <w:ilvl w:val="0"/>
                <w:numId w:val="24"/>
              </w:numPr>
              <w:spacing w:line="240" w:lineRule="auto"/>
              <w:ind w:left="450" w:hanging="270"/>
              <w:jc w:val="both"/>
              <w:rPr>
                <w:sz w:val="24"/>
                <w:szCs w:val="22"/>
              </w:rPr>
            </w:pPr>
            <w:r w:rsidRPr="00EB0681">
              <w:rPr>
                <w:sz w:val="24"/>
                <w:szCs w:val="22"/>
              </w:rPr>
              <w:t>Whole exome and targeted resequencing of human and model organisms;</w:t>
            </w:r>
          </w:p>
          <w:p w:rsidR="00EB0681" w:rsidRPr="00EB0681" w:rsidRDefault="00EB0681" w:rsidP="00EB0681">
            <w:pPr>
              <w:pStyle w:val="DataField11pt"/>
              <w:numPr>
                <w:ilvl w:val="0"/>
                <w:numId w:val="24"/>
              </w:numPr>
              <w:spacing w:line="240" w:lineRule="auto"/>
              <w:ind w:left="450" w:hanging="270"/>
              <w:jc w:val="both"/>
              <w:rPr>
                <w:sz w:val="24"/>
              </w:rPr>
            </w:pPr>
            <w:r w:rsidRPr="00EB0681">
              <w:rPr>
                <w:sz w:val="24"/>
              </w:rPr>
              <w:t>OncoScan FFPE assay for genome-wide copy number and (LOH) in ~900 cancer genes;</w:t>
            </w:r>
          </w:p>
          <w:p w:rsidR="00EB0681" w:rsidRPr="00EB0681" w:rsidRDefault="00EB0681" w:rsidP="00EB0681">
            <w:pPr>
              <w:pStyle w:val="DataField11pt"/>
              <w:numPr>
                <w:ilvl w:val="0"/>
                <w:numId w:val="24"/>
              </w:numPr>
              <w:spacing w:line="240" w:lineRule="auto"/>
              <w:ind w:left="450" w:hanging="270"/>
              <w:jc w:val="both"/>
              <w:rPr>
                <w:sz w:val="24"/>
                <w:szCs w:val="22"/>
              </w:rPr>
            </w:pPr>
            <w:r w:rsidRPr="00EB0681">
              <w:rPr>
                <w:sz w:val="24"/>
                <w:szCs w:val="22"/>
              </w:rPr>
              <w:t>Chromatin-IP sequencing (ChIP-, RIP- and CLIP-seq);</w:t>
            </w:r>
          </w:p>
          <w:p w:rsidR="00EB0681" w:rsidRPr="00EB0681" w:rsidRDefault="00EB0681" w:rsidP="00EB0681">
            <w:pPr>
              <w:pStyle w:val="DataField11pt"/>
              <w:numPr>
                <w:ilvl w:val="0"/>
                <w:numId w:val="24"/>
              </w:numPr>
              <w:spacing w:line="240" w:lineRule="auto"/>
              <w:ind w:left="450" w:hanging="270"/>
              <w:jc w:val="both"/>
              <w:rPr>
                <w:sz w:val="24"/>
                <w:szCs w:val="22"/>
              </w:rPr>
            </w:pPr>
            <w:r w:rsidRPr="00EB0681">
              <w:rPr>
                <w:sz w:val="24"/>
                <w:szCs w:val="22"/>
              </w:rPr>
              <w:t xml:space="preserve">RNA expression by RNA-sequencing (whole transcriptome) </w:t>
            </w:r>
            <w:r w:rsidRPr="00EB0681">
              <w:rPr>
                <w:sz w:val="24"/>
                <w:szCs w:val="22"/>
              </w:rPr>
              <w:lastRenderedPageBreak/>
              <w:t>including short and long non-coding RNA;</w:t>
            </w:r>
          </w:p>
          <w:p w:rsidR="00EB0681" w:rsidRPr="00EB0681" w:rsidRDefault="00EB0681" w:rsidP="00EB0681">
            <w:pPr>
              <w:pStyle w:val="DataField11pt"/>
              <w:numPr>
                <w:ilvl w:val="0"/>
                <w:numId w:val="24"/>
              </w:numPr>
              <w:spacing w:line="240" w:lineRule="auto"/>
              <w:ind w:left="450" w:hanging="270"/>
              <w:jc w:val="both"/>
              <w:rPr>
                <w:sz w:val="24"/>
                <w:szCs w:val="22"/>
              </w:rPr>
            </w:pPr>
            <w:r w:rsidRPr="00EB0681">
              <w:rPr>
                <w:sz w:val="24"/>
                <w:szCs w:val="22"/>
              </w:rPr>
              <w:t>Genome-wide DNA methylation sequencing;</w:t>
            </w:r>
          </w:p>
          <w:p w:rsidR="00EB0681" w:rsidRPr="00EB0681" w:rsidRDefault="00EB0681" w:rsidP="00EB0681">
            <w:pPr>
              <w:pStyle w:val="DataField11pt"/>
              <w:numPr>
                <w:ilvl w:val="0"/>
                <w:numId w:val="24"/>
              </w:numPr>
              <w:spacing w:line="240" w:lineRule="auto"/>
              <w:ind w:left="450" w:hanging="270"/>
              <w:jc w:val="both"/>
              <w:rPr>
                <w:sz w:val="24"/>
                <w:szCs w:val="22"/>
              </w:rPr>
            </w:pPr>
            <w:r w:rsidRPr="00EB0681">
              <w:rPr>
                <w:sz w:val="24"/>
                <w:szCs w:val="22"/>
              </w:rPr>
              <w:t>Whole genome sequencing;</w:t>
            </w:r>
          </w:p>
          <w:p w:rsidR="00EB0681" w:rsidRPr="00EB0681" w:rsidRDefault="00EB0681" w:rsidP="00EB0681">
            <w:pPr>
              <w:pStyle w:val="DataField11pt"/>
              <w:numPr>
                <w:ilvl w:val="0"/>
                <w:numId w:val="24"/>
              </w:numPr>
              <w:spacing w:line="240" w:lineRule="auto"/>
              <w:ind w:left="450" w:hanging="270"/>
              <w:jc w:val="both"/>
              <w:rPr>
                <w:sz w:val="24"/>
                <w:szCs w:val="22"/>
              </w:rPr>
            </w:pPr>
            <w:r w:rsidRPr="00EB0681">
              <w:rPr>
                <w:sz w:val="24"/>
              </w:rPr>
              <w:t>Assisting investigators with experimental design and analyzing results providing web-based pathway analysis software</w:t>
            </w:r>
          </w:p>
          <w:p w:rsidR="00EB0681" w:rsidRPr="00EB0681" w:rsidRDefault="00EB0681" w:rsidP="00EB0681">
            <w:pPr>
              <w:pStyle w:val="DataField11pt"/>
              <w:numPr>
                <w:ilvl w:val="0"/>
                <w:numId w:val="24"/>
              </w:numPr>
              <w:spacing w:line="240" w:lineRule="auto"/>
              <w:ind w:left="450" w:hanging="270"/>
              <w:jc w:val="both"/>
              <w:rPr>
                <w:sz w:val="24"/>
                <w:szCs w:val="22"/>
              </w:rPr>
            </w:pPr>
            <w:r w:rsidRPr="00EB0681">
              <w:rPr>
                <w:sz w:val="24"/>
                <w:szCs w:val="22"/>
              </w:rPr>
              <w:t>Bioinformatics including</w:t>
            </w:r>
            <w:r w:rsidRPr="00EB0681">
              <w:rPr>
                <w:sz w:val="24"/>
              </w:rPr>
              <w:t xml:space="preserve"> management and delivery of information derived from genomic and functional genomic data analysis, large data set manipulation and management, data visualization, high performance computing, database design and implementation, and internet-based data dissemination solutions. A web-based delivery mechanism for result files</w:t>
            </w:r>
          </w:p>
          <w:p w:rsidR="00EB0681" w:rsidRPr="00EB0681" w:rsidRDefault="00EB0681" w:rsidP="00EB0681">
            <w:pPr>
              <w:pStyle w:val="DataField11pt"/>
              <w:spacing w:line="240" w:lineRule="auto"/>
              <w:jc w:val="both"/>
              <w:rPr>
                <w:sz w:val="24"/>
                <w:szCs w:val="22"/>
                <w:u w:val="single"/>
                <w:lang w:bidi="en-US"/>
              </w:rPr>
            </w:pPr>
          </w:p>
          <w:p w:rsidR="00EB0681" w:rsidRPr="00EB0681" w:rsidRDefault="00EB0681" w:rsidP="00EB0681">
            <w:pPr>
              <w:jc w:val="both"/>
              <w:rPr>
                <w:sz w:val="24"/>
                <w:szCs w:val="22"/>
                <w:lang w:bidi="en-US"/>
              </w:rPr>
            </w:pPr>
            <w:r w:rsidRPr="00EB0681">
              <w:rPr>
                <w:b/>
                <w:sz w:val="24"/>
                <w:szCs w:val="22"/>
                <w:lang w:bidi="en-US"/>
              </w:rPr>
              <w:t>CLIA certified:</w:t>
            </w:r>
          </w:p>
          <w:p w:rsidR="00EB0681" w:rsidRPr="00EB0681" w:rsidRDefault="00EB0681" w:rsidP="00EB0681">
            <w:pPr>
              <w:jc w:val="both"/>
              <w:rPr>
                <w:sz w:val="24"/>
                <w:szCs w:val="22"/>
                <w:lang w:bidi="en-US"/>
              </w:rPr>
            </w:pPr>
          </w:p>
          <w:p w:rsidR="00EB0681" w:rsidRPr="00EB0681" w:rsidRDefault="00EB0681" w:rsidP="00EB0681">
            <w:pPr>
              <w:pStyle w:val="ListParagraph"/>
              <w:numPr>
                <w:ilvl w:val="0"/>
                <w:numId w:val="20"/>
              </w:numPr>
              <w:ind w:left="540"/>
              <w:jc w:val="both"/>
              <w:rPr>
                <w:sz w:val="24"/>
              </w:rPr>
            </w:pPr>
            <w:r w:rsidRPr="00EB0681">
              <w:rPr>
                <w:sz w:val="24"/>
              </w:rPr>
              <w:t>Sanger sequencing,</w:t>
            </w:r>
          </w:p>
          <w:p w:rsidR="00EB0681" w:rsidRPr="00EB0681" w:rsidRDefault="00EB0681" w:rsidP="00EB0681">
            <w:pPr>
              <w:pStyle w:val="ListParagraph"/>
              <w:numPr>
                <w:ilvl w:val="0"/>
                <w:numId w:val="20"/>
              </w:numPr>
              <w:ind w:left="540"/>
              <w:jc w:val="both"/>
              <w:rPr>
                <w:sz w:val="24"/>
              </w:rPr>
            </w:pPr>
            <w:r w:rsidRPr="00EB0681">
              <w:rPr>
                <w:sz w:val="24"/>
              </w:rPr>
              <w:t>K-RAS,</w:t>
            </w:r>
          </w:p>
          <w:p w:rsidR="00EB0681" w:rsidRPr="00EB0681" w:rsidRDefault="00EB0681" w:rsidP="00EB0681">
            <w:pPr>
              <w:pStyle w:val="ListParagraph"/>
              <w:numPr>
                <w:ilvl w:val="0"/>
                <w:numId w:val="20"/>
              </w:numPr>
              <w:ind w:left="540"/>
              <w:jc w:val="both"/>
              <w:rPr>
                <w:sz w:val="24"/>
              </w:rPr>
            </w:pPr>
            <w:r w:rsidRPr="00EB0681">
              <w:rPr>
                <w:sz w:val="24"/>
              </w:rPr>
              <w:t>BRAF,</w:t>
            </w:r>
          </w:p>
          <w:p w:rsidR="00EB0681" w:rsidRPr="00EB0681" w:rsidRDefault="00EB0681" w:rsidP="00EB0681">
            <w:pPr>
              <w:pStyle w:val="ListParagraph"/>
              <w:numPr>
                <w:ilvl w:val="0"/>
                <w:numId w:val="20"/>
              </w:numPr>
              <w:ind w:left="540"/>
              <w:jc w:val="both"/>
              <w:rPr>
                <w:sz w:val="24"/>
              </w:rPr>
            </w:pPr>
            <w:r w:rsidRPr="00EB0681">
              <w:rPr>
                <w:sz w:val="24"/>
              </w:rPr>
              <w:t>EGFR,</w:t>
            </w:r>
          </w:p>
          <w:p w:rsidR="00EB0681" w:rsidRPr="00EB0681" w:rsidRDefault="00EB0681" w:rsidP="00EB0681">
            <w:pPr>
              <w:pStyle w:val="ListParagraph"/>
              <w:numPr>
                <w:ilvl w:val="0"/>
                <w:numId w:val="20"/>
              </w:numPr>
              <w:ind w:left="540"/>
              <w:jc w:val="both"/>
              <w:rPr>
                <w:sz w:val="24"/>
              </w:rPr>
            </w:pPr>
            <w:r w:rsidRPr="00EB0681">
              <w:rPr>
                <w:sz w:val="24"/>
              </w:rPr>
              <w:t>AmpliSeq Cancer panel (50 oncogenes and TS genes) resequencing,</w:t>
            </w:r>
          </w:p>
          <w:p w:rsidR="00EB0681" w:rsidRPr="00EB0681" w:rsidRDefault="00EB0681" w:rsidP="00EB0681">
            <w:pPr>
              <w:pStyle w:val="ListParagraph"/>
              <w:numPr>
                <w:ilvl w:val="0"/>
                <w:numId w:val="20"/>
              </w:numPr>
              <w:ind w:left="540"/>
              <w:jc w:val="both"/>
              <w:rPr>
                <w:sz w:val="24"/>
              </w:rPr>
            </w:pPr>
            <w:r w:rsidRPr="00EB0681">
              <w:rPr>
                <w:sz w:val="24"/>
              </w:rPr>
              <w:t>Whole exome sequencing</w:t>
            </w:r>
          </w:p>
          <w:p w:rsidR="00EB0681" w:rsidRPr="00EB0681" w:rsidRDefault="00EB0681" w:rsidP="00EB0681">
            <w:pPr>
              <w:pStyle w:val="DataField11pt"/>
              <w:spacing w:line="240" w:lineRule="auto"/>
              <w:jc w:val="both"/>
              <w:rPr>
                <w:sz w:val="24"/>
                <w:szCs w:val="26"/>
              </w:rPr>
            </w:pPr>
          </w:p>
          <w:p w:rsidR="00311CCC" w:rsidRPr="00EB0681" w:rsidRDefault="00311CCC" w:rsidP="00EB0681">
            <w:pPr>
              <w:ind w:left="360"/>
              <w:rPr>
                <w:rFonts w:cs="Arial"/>
                <w:sz w:val="24"/>
              </w:rPr>
            </w:pPr>
          </w:p>
        </w:tc>
      </w:tr>
    </w:tbl>
    <w:p w:rsidR="00311CCC" w:rsidRPr="004542CD" w:rsidRDefault="00311CCC" w:rsidP="003330FD">
      <w:pPr>
        <w:pStyle w:val="Heading3"/>
        <w:jc w:val="both"/>
      </w:pPr>
    </w:p>
    <w:sectPr w:rsidR="00311CCC" w:rsidRPr="004542CD" w:rsidSect="00311CCC">
      <w:footerReference w:type="even"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DA" w:rsidRDefault="009C6EDA">
      <w:r>
        <w:separator/>
      </w:r>
    </w:p>
  </w:endnote>
  <w:endnote w:type="continuationSeparator" w:id="0">
    <w:p w:rsidR="009C6EDA" w:rsidRDefault="009C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67" w:rsidRDefault="00847C67" w:rsidP="001A6D11">
    <w:pPr>
      <w:pStyle w:val="Footer"/>
      <w:framePr w:wrap="around" w:vAnchor="text" w:hAnchor="margin" w:xAlign="center" w:y="1"/>
      <w:rPr>
        <w:rStyle w:val="PageNumber"/>
        <w:rFonts w:cs="Times New Roman"/>
        <w:caps w:val="0"/>
        <w:spacing w:val="0"/>
        <w:sz w:val="20"/>
        <w:szCs w:val="24"/>
      </w:rPr>
    </w:pPr>
    <w:r>
      <w:rPr>
        <w:rStyle w:val="PageNumber"/>
      </w:rPr>
      <w:fldChar w:fldCharType="begin"/>
    </w:r>
    <w:r>
      <w:rPr>
        <w:rStyle w:val="PageNumber"/>
      </w:rPr>
      <w:instrText xml:space="preserve">PAGE  </w:instrText>
    </w:r>
    <w:r>
      <w:rPr>
        <w:rStyle w:val="PageNumber"/>
      </w:rPr>
      <w:fldChar w:fldCharType="end"/>
    </w:r>
  </w:p>
  <w:p w:rsidR="00847C67" w:rsidRDefault="00847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DA" w:rsidRDefault="009C6EDA">
      <w:r>
        <w:separator/>
      </w:r>
    </w:p>
  </w:footnote>
  <w:footnote w:type="continuationSeparator" w:id="0">
    <w:p w:rsidR="009C6EDA" w:rsidRDefault="009C6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lvl>
  </w:abstractNum>
  <w:abstractNum w:abstractNumId="1">
    <w:nsid w:val="FFFFFF7D"/>
    <w:multiLevelType w:val="singleLevel"/>
    <w:tmpl w:val="B01227D2"/>
    <w:lvl w:ilvl="0">
      <w:start w:val="1"/>
      <w:numFmt w:val="decimal"/>
      <w:lvlText w:val="%1."/>
      <w:lvlJc w:val="left"/>
      <w:pPr>
        <w:tabs>
          <w:tab w:val="num" w:pos="1440"/>
        </w:tabs>
        <w:ind w:left="1440" w:hanging="360"/>
      </w:pPr>
    </w:lvl>
  </w:abstractNum>
  <w:abstractNum w:abstractNumId="2">
    <w:nsid w:val="FFFFFF7E"/>
    <w:multiLevelType w:val="singleLevel"/>
    <w:tmpl w:val="8274014A"/>
    <w:lvl w:ilvl="0">
      <w:start w:val="1"/>
      <w:numFmt w:val="decimal"/>
      <w:lvlText w:val="%1."/>
      <w:lvlJc w:val="left"/>
      <w:pPr>
        <w:tabs>
          <w:tab w:val="num" w:pos="1080"/>
        </w:tabs>
        <w:ind w:left="1080" w:hanging="360"/>
      </w:pPr>
    </w:lvl>
  </w:abstractNum>
  <w:abstractNum w:abstractNumId="3">
    <w:nsid w:val="FFFFFF7F"/>
    <w:multiLevelType w:val="singleLevel"/>
    <w:tmpl w:val="13A63E7C"/>
    <w:lvl w:ilvl="0">
      <w:start w:val="1"/>
      <w:numFmt w:val="decimal"/>
      <w:lvlText w:val="%1."/>
      <w:lvlJc w:val="left"/>
      <w:pPr>
        <w:tabs>
          <w:tab w:val="num" w:pos="720"/>
        </w:tabs>
        <w:ind w:left="720" w:hanging="360"/>
      </w:p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790619"/>
    <w:multiLevelType w:val="hybridMultilevel"/>
    <w:tmpl w:val="19DC4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8E0F30"/>
    <w:multiLevelType w:val="hybridMultilevel"/>
    <w:tmpl w:val="CFC6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5E3606"/>
    <w:multiLevelType w:val="hybridMultilevel"/>
    <w:tmpl w:val="7150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D72B9"/>
    <w:multiLevelType w:val="hybridMultilevel"/>
    <w:tmpl w:val="1B9220FC"/>
    <w:lvl w:ilvl="0" w:tplc="83F2597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A18482F"/>
    <w:multiLevelType w:val="hybridMultilevel"/>
    <w:tmpl w:val="FC6A00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13"/>
  </w:num>
  <w:num w:numId="5">
    <w:abstractNumId w:val="7"/>
  </w:num>
  <w:num w:numId="6">
    <w:abstractNumId w:val="17"/>
  </w:num>
  <w:num w:numId="7">
    <w:abstractNumId w:val="17"/>
  </w:num>
  <w:num w:numId="8">
    <w:abstractNumId w:val="8"/>
  </w:num>
  <w:num w:numId="9">
    <w:abstractNumId w:val="10"/>
  </w:num>
  <w:num w:numId="10">
    <w:abstractNumId w:val="19"/>
  </w:num>
  <w:num w:numId="11">
    <w:abstractNumId w:val="18"/>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1"/>
  </w:num>
  <w:num w:numId="22">
    <w:abstractNumId w:val="15"/>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A1"/>
    <w:rsid w:val="001A6D11"/>
    <w:rsid w:val="00201D71"/>
    <w:rsid w:val="002A3AA1"/>
    <w:rsid w:val="00311CCC"/>
    <w:rsid w:val="003330FD"/>
    <w:rsid w:val="003E3C40"/>
    <w:rsid w:val="00551658"/>
    <w:rsid w:val="005A0940"/>
    <w:rsid w:val="00615D85"/>
    <w:rsid w:val="00627636"/>
    <w:rsid w:val="006A6559"/>
    <w:rsid w:val="006B0CBB"/>
    <w:rsid w:val="006D420C"/>
    <w:rsid w:val="00715FCF"/>
    <w:rsid w:val="00847C67"/>
    <w:rsid w:val="008636B6"/>
    <w:rsid w:val="009C6EDA"/>
    <w:rsid w:val="00A70E37"/>
    <w:rsid w:val="00AD64A1"/>
    <w:rsid w:val="00AE5168"/>
    <w:rsid w:val="00BE620C"/>
    <w:rsid w:val="00CB4DB3"/>
    <w:rsid w:val="00D3401B"/>
    <w:rsid w:val="00D41E36"/>
    <w:rsid w:val="00EB0681"/>
    <w:rsid w:val="00F40300"/>
    <w:rsid w:val="00F8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rPr>
  </w:style>
  <w:style w:type="paragraph" w:styleId="Heading1">
    <w:name w:val="heading 1"/>
    <w:basedOn w:val="Normal"/>
    <w:next w:val="Normal"/>
    <w:link w:val="Heading1Char"/>
    <w:qFormat/>
    <w:rsid w:val="00CB6D20"/>
    <w:pPr>
      <w:outlineLvl w:val="0"/>
    </w:pPr>
    <w:rPr>
      <w:rFonts w:eastAsia="MS Mincho" w:cs="Arial"/>
      <w:b/>
      <w:color w:val="333333"/>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eastAsia="MS Mincho"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eastAsia="MS Mincho"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eastAsia="MS Mincho" w:cs="Courier New"/>
      <w:b/>
      <w:color w:val="333333"/>
    </w:rPr>
  </w:style>
  <w:style w:type="character" w:customStyle="1" w:styleId="BodyTextINTROParagraphChar">
    <w:name w:val="Body Text INTRO Paragraph Char"/>
    <w:link w:val="BodyTextINTROParagraph"/>
    <w:rsid w:val="00CB6D20"/>
    <w:rPr>
      <w:rFonts w:ascii="Arial" w:hAnsi="Arial" w:cs="Courier New"/>
      <w:b/>
      <w:color w:val="333333"/>
      <w:szCs w:val="24"/>
      <w:lang w:val="en-US" w:eastAsia="en-US" w:bidi="ar-SA"/>
    </w:rPr>
  </w:style>
  <w:style w:type="character" w:styleId="CommentReference">
    <w:name w:val="annotation reference"/>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link w:val="HeaderChar"/>
    <w:uiPriority w:val="99"/>
    <w:rsid w:val="00CB6D20"/>
    <w:pPr>
      <w:tabs>
        <w:tab w:val="center" w:pos="4320"/>
        <w:tab w:val="right" w:pos="8640"/>
      </w:tabs>
    </w:pPr>
    <w:rPr>
      <w:caps/>
      <w:spacing w:val="10"/>
      <w:sz w:val="16"/>
      <w:szCs w:val="16"/>
    </w:rPr>
  </w:style>
  <w:style w:type="character" w:customStyle="1" w:styleId="Heading4Char">
    <w:name w:val="Heading 4 Char"/>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link w:val="BodyText"/>
    <w:rsid w:val="002F1274"/>
    <w:rPr>
      <w:rFonts w:ascii="Arial" w:hAnsi="Arial" w:cs="Arial"/>
      <w:szCs w:val="24"/>
      <w:lang w:val="en-US" w:eastAsia="en-US" w:bidi="ar-SA"/>
    </w:rPr>
  </w:style>
  <w:style w:type="character" w:customStyle="1" w:styleId="TableBodyTextChar">
    <w:name w:val="Table Body Text 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link w:val="StyleTableBodyTextItalic"/>
    <w:rsid w:val="002F1274"/>
    <w:rPr>
      <w:rFonts w:ascii="Arial" w:hAnsi="Arial" w:cs="Arial"/>
      <w:i/>
      <w:iCs/>
      <w:sz w:val="18"/>
      <w:szCs w:val="18"/>
      <w:lang w:val="en-US" w:eastAsia="en-US" w:bidi="ar-SA"/>
    </w:rPr>
  </w:style>
  <w:style w:type="character" w:customStyle="1" w:styleId="HeaderChar">
    <w:name w:val="Header Char"/>
    <w:link w:val="Header"/>
    <w:uiPriority w:val="99"/>
    <w:rsid w:val="00364FAE"/>
    <w:rPr>
      <w:rFonts w:ascii="Arial" w:eastAsia="Times New Roman" w:hAnsi="Arial" w:cs="Arial"/>
      <w:caps/>
      <w:spacing w:val="10"/>
      <w:sz w:val="16"/>
      <w:szCs w:val="16"/>
    </w:rPr>
  </w:style>
  <w:style w:type="paragraph" w:customStyle="1" w:styleId="DataField11pt">
    <w:name w:val="Data Field 11pt"/>
    <w:basedOn w:val="Normal"/>
    <w:link w:val="DataField11ptChar"/>
    <w:rsid w:val="00AE5168"/>
    <w:pPr>
      <w:autoSpaceDE w:val="0"/>
      <w:autoSpaceDN w:val="0"/>
      <w:spacing w:line="300" w:lineRule="exact"/>
    </w:pPr>
    <w:rPr>
      <w:rFonts w:cs="Arial"/>
      <w:sz w:val="22"/>
      <w:szCs w:val="20"/>
    </w:rPr>
  </w:style>
  <w:style w:type="character" w:customStyle="1" w:styleId="DataField11ptChar">
    <w:name w:val="Data Field 11pt Char"/>
    <w:basedOn w:val="DefaultParagraphFont"/>
    <w:link w:val="DataField11pt"/>
    <w:rsid w:val="00AE5168"/>
    <w:rPr>
      <w:rFonts w:ascii="Arial" w:eastAsia="Times New Roman" w:hAnsi="Arial" w:cs="Arial"/>
      <w:sz w:val="22"/>
    </w:rPr>
  </w:style>
  <w:style w:type="character" w:styleId="Emphasis">
    <w:name w:val="Emphasis"/>
    <w:basedOn w:val="DefaultParagraphFont"/>
    <w:qFormat/>
    <w:rsid w:val="008636B6"/>
    <w:rPr>
      <w:i/>
      <w:iCs/>
    </w:rPr>
  </w:style>
  <w:style w:type="paragraph" w:styleId="ListParagraph">
    <w:name w:val="List Paragraph"/>
    <w:basedOn w:val="Normal"/>
    <w:uiPriority w:val="72"/>
    <w:rsid w:val="00863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rPr>
  </w:style>
  <w:style w:type="paragraph" w:styleId="Heading1">
    <w:name w:val="heading 1"/>
    <w:basedOn w:val="Normal"/>
    <w:next w:val="Normal"/>
    <w:link w:val="Heading1Char"/>
    <w:qFormat/>
    <w:rsid w:val="00CB6D20"/>
    <w:pPr>
      <w:outlineLvl w:val="0"/>
    </w:pPr>
    <w:rPr>
      <w:rFonts w:eastAsia="MS Mincho" w:cs="Arial"/>
      <w:b/>
      <w:color w:val="333333"/>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eastAsia="MS Mincho"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eastAsia="MS Mincho"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eastAsia="MS Mincho" w:cs="Courier New"/>
      <w:b/>
      <w:color w:val="333333"/>
    </w:rPr>
  </w:style>
  <w:style w:type="character" w:customStyle="1" w:styleId="BodyTextINTROParagraphChar">
    <w:name w:val="Body Text INTRO Paragraph Char"/>
    <w:link w:val="BodyTextINTROParagraph"/>
    <w:rsid w:val="00CB6D20"/>
    <w:rPr>
      <w:rFonts w:ascii="Arial" w:hAnsi="Arial" w:cs="Courier New"/>
      <w:b/>
      <w:color w:val="333333"/>
      <w:szCs w:val="24"/>
      <w:lang w:val="en-US" w:eastAsia="en-US" w:bidi="ar-SA"/>
    </w:rPr>
  </w:style>
  <w:style w:type="character" w:styleId="CommentReference">
    <w:name w:val="annotation reference"/>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link w:val="HeaderChar"/>
    <w:uiPriority w:val="99"/>
    <w:rsid w:val="00CB6D20"/>
    <w:pPr>
      <w:tabs>
        <w:tab w:val="center" w:pos="4320"/>
        <w:tab w:val="right" w:pos="8640"/>
      </w:tabs>
    </w:pPr>
    <w:rPr>
      <w:caps/>
      <w:spacing w:val="10"/>
      <w:sz w:val="16"/>
      <w:szCs w:val="16"/>
    </w:rPr>
  </w:style>
  <w:style w:type="character" w:customStyle="1" w:styleId="Heading4Char">
    <w:name w:val="Heading 4 Char"/>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link w:val="BodyText"/>
    <w:rsid w:val="002F1274"/>
    <w:rPr>
      <w:rFonts w:ascii="Arial" w:hAnsi="Arial" w:cs="Arial"/>
      <w:szCs w:val="24"/>
      <w:lang w:val="en-US" w:eastAsia="en-US" w:bidi="ar-SA"/>
    </w:rPr>
  </w:style>
  <w:style w:type="character" w:customStyle="1" w:styleId="TableBodyTextChar">
    <w:name w:val="Table Body Text 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link w:val="StyleTableBodyTextItalic"/>
    <w:rsid w:val="002F1274"/>
    <w:rPr>
      <w:rFonts w:ascii="Arial" w:hAnsi="Arial" w:cs="Arial"/>
      <w:i/>
      <w:iCs/>
      <w:sz w:val="18"/>
      <w:szCs w:val="18"/>
      <w:lang w:val="en-US" w:eastAsia="en-US" w:bidi="ar-SA"/>
    </w:rPr>
  </w:style>
  <w:style w:type="character" w:customStyle="1" w:styleId="HeaderChar">
    <w:name w:val="Header Char"/>
    <w:link w:val="Header"/>
    <w:uiPriority w:val="99"/>
    <w:rsid w:val="00364FAE"/>
    <w:rPr>
      <w:rFonts w:ascii="Arial" w:eastAsia="Times New Roman" w:hAnsi="Arial" w:cs="Arial"/>
      <w:caps/>
      <w:spacing w:val="10"/>
      <w:sz w:val="16"/>
      <w:szCs w:val="16"/>
    </w:rPr>
  </w:style>
  <w:style w:type="paragraph" w:customStyle="1" w:styleId="DataField11pt">
    <w:name w:val="Data Field 11pt"/>
    <w:basedOn w:val="Normal"/>
    <w:link w:val="DataField11ptChar"/>
    <w:rsid w:val="00AE5168"/>
    <w:pPr>
      <w:autoSpaceDE w:val="0"/>
      <w:autoSpaceDN w:val="0"/>
      <w:spacing w:line="300" w:lineRule="exact"/>
    </w:pPr>
    <w:rPr>
      <w:rFonts w:cs="Arial"/>
      <w:sz w:val="22"/>
      <w:szCs w:val="20"/>
    </w:rPr>
  </w:style>
  <w:style w:type="character" w:customStyle="1" w:styleId="DataField11ptChar">
    <w:name w:val="Data Field 11pt Char"/>
    <w:basedOn w:val="DefaultParagraphFont"/>
    <w:link w:val="DataField11pt"/>
    <w:rsid w:val="00AE5168"/>
    <w:rPr>
      <w:rFonts w:ascii="Arial" w:eastAsia="Times New Roman" w:hAnsi="Arial" w:cs="Arial"/>
      <w:sz w:val="22"/>
    </w:rPr>
  </w:style>
  <w:style w:type="character" w:styleId="Emphasis">
    <w:name w:val="Emphasis"/>
    <w:basedOn w:val="DefaultParagraphFont"/>
    <w:qFormat/>
    <w:rsid w:val="008636B6"/>
    <w:rPr>
      <w:i/>
      <w:iCs/>
    </w:rPr>
  </w:style>
  <w:style w:type="paragraph" w:styleId="ListParagraph">
    <w:name w:val="List Paragraph"/>
    <w:basedOn w:val="Normal"/>
    <w:uiPriority w:val="72"/>
    <w:rsid w:val="00863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g015\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1</TotalTime>
  <Pages>4</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Gutierrez</dc:creator>
  <cp:lastModifiedBy>Jessica Gutierrez</cp:lastModifiedBy>
  <cp:revision>2</cp:revision>
  <cp:lastPrinted>2014-06-06T15:32:00Z</cp:lastPrinted>
  <dcterms:created xsi:type="dcterms:W3CDTF">2014-08-08T20:06:00Z</dcterms:created>
  <dcterms:modified xsi:type="dcterms:W3CDTF">2014-08-08T20:06:00Z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